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4E7A">
      <w:pPr>
        <w:widowControl/>
        <w:shd w:val="clear" w:color="auto" w:fill="FFFFFF"/>
        <w:adjustRightInd w:val="0"/>
        <w:spacing w:line="400" w:lineRule="exact"/>
        <w:ind w:firstLine="0"/>
        <w:jc w:val="left"/>
        <w:rPr>
          <w:rFonts w:hint="eastAsia" w:eastAsia="方正黑体_GBK"/>
          <w:szCs w:val="32"/>
          <w:lang w:eastAsia="zh-CN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2</w:t>
      </w:r>
    </w:p>
    <w:p w14:paraId="6D2A5DB2">
      <w:pPr>
        <w:tabs>
          <w:tab w:val="left" w:pos="8190"/>
        </w:tabs>
        <w:autoSpaceDE/>
        <w:autoSpaceDN/>
        <w:adjustRightInd w:val="0"/>
        <w:spacing w:line="240" w:lineRule="auto"/>
        <w:ind w:firstLine="0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202</w:t>
      </w:r>
      <w:r>
        <w:rPr>
          <w:rFonts w:hint="eastAsia" w:eastAsia="方正小标宋_GBK"/>
          <w:sz w:val="40"/>
          <w:szCs w:val="40"/>
        </w:rPr>
        <w:t>5</w:t>
      </w:r>
      <w:r>
        <w:rPr>
          <w:rFonts w:eastAsia="方正小标宋_GBK"/>
          <w:sz w:val="40"/>
          <w:szCs w:val="40"/>
        </w:rPr>
        <w:t>年</w:t>
      </w:r>
      <w:r>
        <w:rPr>
          <w:rFonts w:hint="eastAsia" w:ascii="Times New Roman" w:hAnsi="Times New Roman" w:eastAsia="方正小标宋_GBK" w:cs="Times New Roman"/>
          <w:sz w:val="40"/>
          <w:szCs w:val="40"/>
        </w:rPr>
        <w:t>省</w:t>
      </w:r>
      <w:r>
        <w:rPr>
          <w:rFonts w:ascii="Times New Roman" w:hAnsi="Times New Roman" w:eastAsia="方正小标宋_GBK" w:cs="Times New Roman"/>
          <w:sz w:val="40"/>
          <w:szCs w:val="40"/>
        </w:rPr>
        <w:t>科研设施与仪器开放共享</w:t>
      </w:r>
      <w:r>
        <w:rPr>
          <w:rFonts w:eastAsia="方正小标宋_GBK"/>
          <w:sz w:val="40"/>
          <w:szCs w:val="40"/>
        </w:rPr>
        <w:t>年度总结</w:t>
      </w:r>
    </w:p>
    <w:p w14:paraId="40715018">
      <w:pPr>
        <w:tabs>
          <w:tab w:val="left" w:pos="8190"/>
        </w:tabs>
        <w:autoSpaceDE/>
        <w:autoSpaceDN/>
        <w:adjustRightInd w:val="0"/>
        <w:spacing w:line="240" w:lineRule="auto"/>
        <w:ind w:firstLine="0"/>
        <w:jc w:val="left"/>
        <w:rPr>
          <w:rFonts w:hint="eastAsia" w:ascii="方正仿宋_GBK" w:hAnsi="方正仿宋_GBK" w:cs="方正仿宋_GBK"/>
          <w:sz w:val="24"/>
          <w:szCs w:val="24"/>
        </w:rPr>
      </w:pPr>
    </w:p>
    <w:p w14:paraId="60BDEB35">
      <w:pPr>
        <w:pStyle w:val="2"/>
        <w:tabs>
          <w:tab w:val="left" w:pos="7897"/>
        </w:tabs>
        <w:spacing w:before="180" w:after="180"/>
        <w:ind w:firstLine="0"/>
        <w:rPr>
          <w:rFonts w:ascii="Times New Roman" w:hAnsi="Times New Roman" w:eastAsia="方正楷体_GBK" w:cs="Times New Roman"/>
          <w:sz w:val="28"/>
          <w:szCs w:val="28"/>
        </w:rPr>
      </w:pPr>
      <w:r>
        <w:rPr>
          <w:rFonts w:ascii="Times New Roman" w:hAnsi="Times New Roman" w:eastAsia="方正楷体_GBK" w:cs="Times New Roman"/>
          <w:sz w:val="28"/>
          <w:szCs w:val="28"/>
          <w:lang w:bidi="ar"/>
        </w:rPr>
        <w:t xml:space="preserve">管理单位/科研设施名称：          </w:t>
      </w:r>
      <w:r>
        <w:rPr>
          <w:rFonts w:hint="eastAsia" w:ascii="Times New Roman" w:hAnsi="Times New Roman" w:eastAsia="方正楷体_GBK" w:cs="Times New Roman"/>
          <w:sz w:val="28"/>
          <w:szCs w:val="28"/>
          <w:lang w:bidi="ar"/>
        </w:rPr>
        <w:t xml:space="preserve">   </w:t>
      </w:r>
      <w:r>
        <w:rPr>
          <w:rFonts w:ascii="Times New Roman" w:hAnsi="Times New Roman" w:eastAsia="方正楷体_GBK" w:cs="Times New Roman"/>
          <w:sz w:val="28"/>
          <w:szCs w:val="28"/>
          <w:lang w:bidi="ar"/>
        </w:rPr>
        <w:t xml:space="preserve">         </w:t>
      </w:r>
      <w:r>
        <w:rPr>
          <w:rFonts w:ascii="Times New Roman" w:hAnsi="Times New Roman" w:eastAsia="方正楷体_GBK" w:cs="Times New Roman"/>
          <w:sz w:val="28"/>
          <w:szCs w:val="28"/>
        </w:rPr>
        <w:t>管理单位（盖章）：</w:t>
      </w:r>
    </w:p>
    <w:tbl>
      <w:tblPr>
        <w:tblStyle w:val="3"/>
        <w:tblW w:w="9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7"/>
      </w:tblGrid>
      <w:tr w14:paraId="44BB4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247" w:type="dxa"/>
            <w:noWrap w:val="0"/>
            <w:vAlign w:val="center"/>
          </w:tcPr>
          <w:p w14:paraId="1B5FAFBF">
            <w:pPr>
              <w:pStyle w:val="5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>1. 管理体系与制度建设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（主要指建立由分管领导牵头，职能部门负责，多部门参与的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仪器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开放共享机制与制度建设情况，包含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仪器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集约化管理、在线服务平台、开放共享服务、考核奖惩等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；重大科研基础设施主要填写科研设施运行管理体系与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制度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规定的制定和落实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情况。500字内</w:t>
            </w:r>
            <w:r>
              <w:rPr>
                <w:rFonts w:ascii="Times New Roman" w:hAnsi="Times New Roman" w:eastAsia="方正楷体_GBK" w:cs="Times New Roman"/>
                <w:bCs/>
                <w:spacing w:val="-10"/>
                <w:sz w:val="28"/>
                <w:szCs w:val="28"/>
              </w:rPr>
              <w:t>）</w:t>
            </w:r>
          </w:p>
        </w:tc>
      </w:tr>
      <w:tr w14:paraId="6F9D2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9247" w:type="dxa"/>
            <w:noWrap w:val="0"/>
            <w:vAlign w:val="center"/>
          </w:tcPr>
          <w:p w14:paraId="419A488A">
            <w:pPr>
              <w:pStyle w:val="5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 w14:paraId="2BE3F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47" w:type="dxa"/>
            <w:noWrap w:val="0"/>
            <w:vAlign w:val="center"/>
          </w:tcPr>
          <w:p w14:paraId="74C6C2F6">
            <w:pPr>
              <w:pStyle w:val="5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>经费投入与使用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（主要指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2024年度仪器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运行维护保障经费投入，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仪器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开放共享收费与开放共享服务收入使用情况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；重大科研基础设施主要填写2024年度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运行维护保障的经费和人力投入情况，对设施开展定期检修、保养维护、更新情况。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00字内）</w:t>
            </w:r>
          </w:p>
        </w:tc>
      </w:tr>
      <w:tr w14:paraId="2A72E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9247" w:type="dxa"/>
            <w:noWrap w:val="0"/>
            <w:vAlign w:val="center"/>
          </w:tcPr>
          <w:p w14:paraId="326B93F5">
            <w:pPr>
              <w:pStyle w:val="5"/>
              <w:autoSpaceDE/>
              <w:autoSpaceDN/>
              <w:adjustRightInd w:val="0"/>
              <w:snapToGrid w:val="0"/>
              <w:spacing w:line="240" w:lineRule="auto"/>
              <w:ind w:left="0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 w14:paraId="1A94C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247" w:type="dxa"/>
            <w:noWrap w:val="0"/>
            <w:vAlign w:val="center"/>
          </w:tcPr>
          <w:p w14:paraId="0EE8FCAC">
            <w:pPr>
              <w:pStyle w:val="5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8"/>
                <w:szCs w:val="28"/>
              </w:rPr>
              <w:t>人才</w:t>
            </w: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>技术队伍建设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（主要指实验技术岗位设置，实验技术课题研究，实验技术人员培训、职务职称与考核激励情况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；重大科研基础设施主要填写技术、服务等人员的考核激励、人才引进培训、职位职称晋升情况。5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00字内）</w:t>
            </w:r>
          </w:p>
        </w:tc>
      </w:tr>
      <w:tr w14:paraId="21A00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9247" w:type="dxa"/>
            <w:noWrap w:val="0"/>
            <w:vAlign w:val="center"/>
          </w:tcPr>
          <w:p w14:paraId="4D473F5A">
            <w:pPr>
              <w:pStyle w:val="5"/>
              <w:autoSpaceDE/>
              <w:autoSpaceDN/>
              <w:adjustRightInd w:val="0"/>
              <w:snapToGrid w:val="0"/>
              <w:spacing w:line="240" w:lineRule="auto"/>
              <w:ind w:left="0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 w14:paraId="7B2A1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247" w:type="dxa"/>
            <w:noWrap w:val="0"/>
            <w:vAlign w:val="center"/>
          </w:tcPr>
          <w:p w14:paraId="1CE2418A">
            <w:pPr>
              <w:pStyle w:val="5"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>运行</w:t>
            </w:r>
            <w:r>
              <w:rPr>
                <w:rFonts w:hint="eastAsia" w:ascii="Times New Roman" w:hAnsi="Times New Roman" w:eastAsia="方正黑体_GBK" w:cs="Times New Roman"/>
                <w:bCs/>
                <w:sz w:val="28"/>
                <w:szCs w:val="28"/>
              </w:rPr>
              <w:t>使用</w:t>
            </w: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>成效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b/>
                <w:sz w:val="28"/>
                <w:szCs w:val="28"/>
              </w:rPr>
              <w:t>侧重科研设施与仪器支撑科研情况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。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主要指通过开放共享支撑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管理单位的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重大科研任务及研究成果产出情况，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需体现仪器发挥的作用；重大科研基础设施主要填写支撑重大技术创新与突破、开展国际交流合作情况。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列举2-3个典型案例，具体说明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取得成果情况。每个案例500字以内，共15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00字内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）</w:t>
            </w:r>
          </w:p>
        </w:tc>
      </w:tr>
      <w:tr w14:paraId="108BD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9247" w:type="dxa"/>
            <w:noWrap w:val="0"/>
            <w:vAlign w:val="center"/>
          </w:tcPr>
          <w:p w14:paraId="212A13B0">
            <w:pPr>
              <w:pStyle w:val="5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09F57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47" w:type="dxa"/>
            <w:noWrap w:val="0"/>
            <w:vAlign w:val="center"/>
          </w:tcPr>
          <w:p w14:paraId="79E8B334">
            <w:pPr>
              <w:pStyle w:val="5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 xml:space="preserve">5. </w:t>
            </w:r>
            <w:r>
              <w:rPr>
                <w:rFonts w:hint="eastAsia" w:ascii="Times New Roman" w:hAnsi="Times New Roman" w:eastAsia="方正黑体_GBK" w:cs="Times New Roman"/>
                <w:bCs/>
                <w:sz w:val="28"/>
                <w:szCs w:val="28"/>
              </w:rPr>
              <w:t>对外</w:t>
            </w: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>共享</w:t>
            </w:r>
            <w:r>
              <w:rPr>
                <w:rFonts w:hint="eastAsia" w:ascii="Times New Roman" w:hAnsi="Times New Roman" w:eastAsia="方正黑体_GBK" w:cs="Times New Roman"/>
                <w:bCs/>
                <w:sz w:val="28"/>
                <w:szCs w:val="28"/>
              </w:rPr>
              <w:t>服务</w:t>
            </w: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>成效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b/>
                <w:sz w:val="28"/>
                <w:szCs w:val="28"/>
              </w:rPr>
              <w:t>侧重科研设施与仪器支撑产业与服务企业情况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。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主要指通过对外开放共享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服务其他单位科研任务，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支撑产业与企业创新发展情况，重点说明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依托“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江苏省科技创新券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”开展共享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服务情况，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需体现仪器发挥的作用；重大科研基础设施主要填写支撑产业与企业创新、支撑社会效益情况。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列举2-3个代表性案例，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每个案例500字以内，共15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00字内）</w:t>
            </w:r>
          </w:p>
        </w:tc>
      </w:tr>
      <w:tr w14:paraId="1C096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9247" w:type="dxa"/>
            <w:noWrap w:val="0"/>
            <w:vAlign w:val="center"/>
          </w:tcPr>
          <w:p w14:paraId="6F8AEB63">
            <w:pPr>
              <w:pStyle w:val="5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 w14:paraId="47306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9247" w:type="dxa"/>
            <w:noWrap w:val="0"/>
            <w:vAlign w:val="center"/>
          </w:tcPr>
          <w:p w14:paraId="6C051A23">
            <w:pPr>
              <w:pStyle w:val="5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方正黑体_GBK" w:cs="Times New Roman"/>
                <w:bCs/>
                <w:sz w:val="28"/>
                <w:szCs w:val="28"/>
              </w:rPr>
              <w:t>管理创新成效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b/>
                <w:sz w:val="28"/>
                <w:szCs w:val="28"/>
              </w:rPr>
              <w:t>侧重管理单位推动科研设施与仪器开放共享的模式、方法创新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。主要指管理单位在平台建设、信息采集、集约化管理、查重评议、与省创新券联动、人员激励等方面的典型做法和成效。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主要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列举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2-3个代表性案例，</w:t>
            </w:r>
            <w:r>
              <w:rPr>
                <w:rFonts w:hint="eastAsia" w:ascii="Times New Roman" w:hAnsi="Times New Roman" w:eastAsia="方正楷体_GBK" w:cs="Times New Roman"/>
                <w:bCs/>
                <w:sz w:val="28"/>
                <w:szCs w:val="28"/>
              </w:rPr>
              <w:t>每个案例500字以内，共15</w:t>
            </w:r>
            <w:r>
              <w:rPr>
                <w:rFonts w:ascii="Times New Roman" w:hAnsi="Times New Roman" w:eastAsia="方正楷体_GBK" w:cs="Times New Roman"/>
                <w:bCs/>
                <w:sz w:val="28"/>
                <w:szCs w:val="28"/>
              </w:rPr>
              <w:t>00字内）</w:t>
            </w:r>
          </w:p>
        </w:tc>
      </w:tr>
      <w:tr w14:paraId="68504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9247" w:type="dxa"/>
            <w:noWrap w:val="0"/>
            <w:vAlign w:val="center"/>
          </w:tcPr>
          <w:p w14:paraId="1740611C">
            <w:pPr>
              <w:pStyle w:val="5"/>
              <w:autoSpaceDE/>
              <w:autoSpaceDN/>
              <w:adjustRightInd w:val="0"/>
              <w:snapToGrid w:val="0"/>
              <w:spacing w:line="240" w:lineRule="auto"/>
              <w:ind w:left="0" w:firstLine="0"/>
              <w:rPr>
                <w:rFonts w:hint="eastAsia" w:ascii="Times New Roman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 w14:paraId="37416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9247" w:type="dxa"/>
            <w:noWrap w:val="0"/>
            <w:vAlign w:val="center"/>
          </w:tcPr>
          <w:p w14:paraId="3AEDAA76">
            <w:pPr>
              <w:tabs>
                <w:tab w:val="left" w:pos="644"/>
              </w:tabs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方正黑体_GBK"/>
                <w:bCs/>
                <w:snapToGrid/>
                <w:sz w:val="28"/>
                <w:szCs w:val="28"/>
              </w:rPr>
            </w:pPr>
            <w:r>
              <w:rPr>
                <w:rFonts w:hint="eastAsia" w:eastAsia="方正黑体_GBK"/>
                <w:bCs/>
                <w:snapToGrid/>
                <w:sz w:val="28"/>
                <w:szCs w:val="28"/>
              </w:rPr>
              <w:t>7</w:t>
            </w:r>
            <w:r>
              <w:rPr>
                <w:rFonts w:eastAsia="方正黑体_GBK"/>
                <w:bCs/>
                <w:snapToGrid/>
                <w:sz w:val="28"/>
                <w:szCs w:val="28"/>
              </w:rPr>
              <w:t xml:space="preserve">. </w:t>
            </w:r>
            <w:r>
              <w:rPr>
                <w:rFonts w:hint="eastAsia" w:eastAsia="方正黑体_GBK"/>
                <w:bCs/>
                <w:snapToGrid/>
                <w:sz w:val="28"/>
                <w:szCs w:val="28"/>
              </w:rPr>
              <w:t>诚信与保障</w:t>
            </w:r>
            <w:r>
              <w:rPr>
                <w:rFonts w:eastAsia="方正楷体_GBK"/>
                <w:bCs/>
                <w:sz w:val="28"/>
                <w:szCs w:val="28"/>
              </w:rPr>
              <w:t>（主要说明是否发生违反科研伦理、学术道德，以及弄虚作假、骗取财政性资金等失信行为，或安全生产、信息安全及涉密安全等事故</w:t>
            </w:r>
            <w:r>
              <w:rPr>
                <w:rFonts w:hint="eastAsia" w:eastAsia="方正楷体_GBK"/>
                <w:bCs/>
                <w:sz w:val="28"/>
                <w:szCs w:val="28"/>
              </w:rPr>
              <w:t>。</w:t>
            </w:r>
            <w:r>
              <w:rPr>
                <w:rFonts w:eastAsia="方正楷体_GBK"/>
                <w:bCs/>
                <w:sz w:val="28"/>
                <w:szCs w:val="28"/>
              </w:rPr>
              <w:t>）</w:t>
            </w:r>
          </w:p>
        </w:tc>
      </w:tr>
      <w:tr w14:paraId="2C0A8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exact"/>
          <w:jc w:val="center"/>
        </w:trPr>
        <w:tc>
          <w:tcPr>
            <w:tcW w:w="9247" w:type="dxa"/>
            <w:noWrap w:val="0"/>
            <w:vAlign w:val="center"/>
          </w:tcPr>
          <w:p w14:paraId="52A1B61A">
            <w:pPr>
              <w:tabs>
                <w:tab w:val="left" w:pos="644"/>
              </w:tabs>
              <w:autoSpaceDE/>
              <w:autoSpaceDN/>
              <w:adjustRightInd w:val="0"/>
              <w:spacing w:line="240" w:lineRule="auto"/>
              <w:ind w:firstLine="0"/>
              <w:rPr>
                <w:rFonts w:eastAsia="方正黑体_GBK"/>
                <w:bCs/>
                <w:snapToGrid/>
                <w:sz w:val="28"/>
                <w:szCs w:val="28"/>
              </w:rPr>
            </w:pPr>
          </w:p>
        </w:tc>
      </w:tr>
    </w:tbl>
    <w:p w14:paraId="721DA919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274EB2-1505-4AFC-BB95-CCB345BAF24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694D201-E4F3-4301-B2E1-4820C6F2C8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Mono CJK HK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E9665418-5F6A-479E-ADAF-0C85B573F30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C8D557F-F6AF-41E3-8DF4-6581500C4372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47DB33F0-6F88-4C87-AD70-B562C945D7B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695C5"/>
    <w:multiLevelType w:val="singleLevel"/>
    <w:tmpl w:val="AF3695C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44155"/>
    <w:rsid w:val="346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32"/>
      <w:szCs w:val="32"/>
    </w:rPr>
  </w:style>
  <w:style w:type="paragraph" w:customStyle="1" w:styleId="5">
    <w:name w:val="Table Paragraph"/>
    <w:basedOn w:val="1"/>
    <w:qFormat/>
    <w:uiPriority w:val="1"/>
    <w:pPr>
      <w:widowControl w:val="0"/>
      <w:kinsoku/>
      <w:adjustRightInd/>
      <w:snapToGrid/>
      <w:spacing w:line="346" w:lineRule="exact"/>
      <w:ind w:left="107"/>
      <w:textAlignment w:val="auto"/>
    </w:pPr>
    <w:rPr>
      <w:rFonts w:ascii="Noto Sans Mono CJK HK" w:hAnsi="Noto Sans Mono CJK HK" w:eastAsia="Noto Sans Mono CJK HK" w:cs="Noto Sans Mono CJK HK"/>
      <w:snapToGrid/>
      <w:color w:val="auto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2025-05-21T07:26:00Z</dcterms:created>
  <dc:creator>蔡雨凡</dc:creator>
  <cp:lastModifiedBy>蔡雨凡</cp:lastModifiedBy>
  <dcterms:modified xsi:type="dcterms:W3CDTF">2025-05-21T07:26:24Z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A1B8283832534C73A0C5DBE874CC852E_11</vt:lpwstr>
  </property>
  <property fmtid="{D5CDD505-2E9C-101B-9397-08002B2CF9AE}" pid="4" name="KSOTemplateDocerSaveRecord">
    <vt:lpwstr>eyJoZGlkIjoiMzAwYmI1NDczZDg0OWVhOGMyZmZhNjVmNWMyOTdlZWEiLCJ1c2VySWQiOiIxNjU1ODQzNDUzIn0=</vt:lpwstr>
  </property>
</Properties>
</file>