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68"/>
        <w:gridCol w:w="7655"/>
      </w:tblGrid>
      <w:tr w14:paraId="4214C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75" w:type="dxa"/>
            <w:vAlign w:val="center"/>
          </w:tcPr>
          <w:p w14:paraId="0DC101A1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序号</w:t>
            </w:r>
          </w:p>
        </w:tc>
        <w:tc>
          <w:tcPr>
            <w:tcW w:w="1168" w:type="dxa"/>
            <w:vAlign w:val="center"/>
          </w:tcPr>
          <w:p w14:paraId="14DAEE9D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设备名称</w:t>
            </w:r>
          </w:p>
        </w:tc>
        <w:tc>
          <w:tcPr>
            <w:tcW w:w="7655" w:type="dxa"/>
            <w:vAlign w:val="center"/>
          </w:tcPr>
          <w:p w14:paraId="790AF8FA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参考图片和技术参数要求</w:t>
            </w:r>
          </w:p>
        </w:tc>
      </w:tr>
      <w:tr w14:paraId="3F542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 w14:paraId="72A052CD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</w:t>
            </w:r>
          </w:p>
        </w:tc>
        <w:tc>
          <w:tcPr>
            <w:tcW w:w="1168" w:type="dxa"/>
            <w:vAlign w:val="center"/>
          </w:tcPr>
          <w:p w14:paraId="0666337C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八合一电驱动总成拆装实训平台</w:t>
            </w:r>
          </w:p>
        </w:tc>
        <w:tc>
          <w:tcPr>
            <w:tcW w:w="7655" w:type="dxa"/>
          </w:tcPr>
          <w:p w14:paraId="3145B189"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drawing>
                <wp:inline distT="0" distB="0" distL="0" distR="0">
                  <wp:extent cx="2790190" cy="2921635"/>
                  <wp:effectExtent l="0" t="0" r="0" b="0"/>
                  <wp:docPr id="1" name="图片 1" descr="C:\Users\Administrator\Desktop\八合一驱动总成电机拆装实训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八合一驱动总成电机拆装实训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850" cy="292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223A50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一、产品要求：</w:t>
            </w:r>
          </w:p>
          <w:p w14:paraId="7B8FD2A3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采用八合一集成式电驱动总成装配在专用拆装翻转架上，适用于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实训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培训，应用于新能源汽车八合一电驱动总成结构认知、拆装、检测与维修等使用。便于学员进行驱动总成结构认知、拆卸、检验、测量和装配实训。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</w:rPr>
              <w:t>适用于汽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车驱动总成构造与维修实训教学，能够满足对发动机的结构、工作原理、零部件的测量、诊断和分析的教学和考核需要。</w:t>
            </w:r>
          </w:p>
          <w:p w14:paraId="047C3BDE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二、基本配置要求：</w:t>
            </w:r>
          </w:p>
          <w:p w14:paraId="1E0B5908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1.移动拆装翻转架：由拆装翻转架主体（含底座、立柱、承重减速机构、手摇轮、涡轮涡杆减速机构和电驱动总成连接机构）+接油盘+移动脚轮组成；</w:t>
            </w:r>
          </w:p>
          <w:p w14:paraId="60972C6A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2.电驱动总成：永磁同步驱动电机、单速变速器、六合一控制器（包含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MCU(电机控制器)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VCU(整车控制器)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PDU(高压配电箱)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OBC(车载充电机)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DC-DC(高低压转换器)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BMS(电池管理系统)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等），附件齐全，质量良好。</w:t>
            </w:r>
          </w:p>
          <w:p w14:paraId="34BB99DA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三、基本功能要求：</w:t>
            </w:r>
          </w:p>
          <w:p w14:paraId="31D25E25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1.把电驱动总成固定在翻转架上，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BMS(电池管理系统)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翻转机构采用蜗轮蜗杆减速结构，支持360°全角度旋转，并能在任意位置自锁锁止，方便实训人员从各个方位开展拆装检修作业。</w:t>
            </w:r>
          </w:p>
          <w:p w14:paraId="4ED308EF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2.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BMS(电池管理系统)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底部配备不锈钢接油盘，可承接冷却液、齿轮油，也可临时放置螺栓、垫片等细小零部件，做到废油液、零部件不落地，培养良好的工作习惯。</w:t>
            </w:r>
          </w:p>
          <w:p w14:paraId="5963A1EE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3.翻转架采用高强度国标钢结构，确保有足够的承重能力，确保拆装时的安全需要；</w:t>
            </w:r>
          </w:p>
          <w:p w14:paraId="74FDEAA8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4.移动脚轮中有2个定轮2个万向轮（带锁定装置），方便移动和稳妥固定；</w:t>
            </w:r>
          </w:p>
          <w:p w14:paraId="3609E40A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5.工业造型，结构合理，美观大方，坚固耐用。</w:t>
            </w:r>
          </w:p>
          <w:p w14:paraId="1DDDCF63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四、主要技术参数要求：</w:t>
            </w:r>
          </w:p>
          <w:p w14:paraId="702FF267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（一）翻转架实训台架技术参数如下：</w:t>
            </w:r>
          </w:p>
          <w:p w14:paraId="5810A541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1.整机外形尺寸（长×宽×高）：≥1000mm×750mm×1150mm。</w:t>
            </w:r>
          </w:p>
          <w:p w14:paraId="7DC7CB92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2.翻转方式：手摇蜗轮蜗杆翻转。</w:t>
            </w:r>
          </w:p>
          <w:p w14:paraId="71B311AB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3.翻转角度：360°无限旋转，任意位置自锁。</w:t>
            </w:r>
          </w:p>
          <w:p w14:paraId="3D7A2D77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4.翻转承载上限：不低于300kg。</w:t>
            </w:r>
          </w:p>
          <w:p w14:paraId="7B5D8C30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5.机架材质：国标方管钢结构焊接。</w:t>
            </w:r>
          </w:p>
          <w:p w14:paraId="72E699CF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6.表面处理：环氧静电喷塑，灰白色。</w:t>
            </w:r>
          </w:p>
          <w:p w14:paraId="6538C7F2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7.接油盘：不锈钢一体式接油盆，带提手，防渗漏。</w:t>
            </w:r>
          </w:p>
          <w:p w14:paraId="4EB174C6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8.脚轮：4寸万向脚轮，其中2只带刹车锁止。</w:t>
            </w:r>
          </w:p>
          <w:p w14:paraId="32521AE9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9.翻转减速比：≥1:70。</w:t>
            </w:r>
          </w:p>
          <w:p w14:paraId="6D810C6B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10.整机总重：≥160kg。</w:t>
            </w:r>
          </w:p>
          <w:p w14:paraId="0F612319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（二）电驱动总成本体参数要求：</w:t>
            </w:r>
          </w:p>
          <w:p w14:paraId="2962B6D2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1.集成构型：八合一集成式电驱动总成，包含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MCU(电机控制器)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VCU(整车控制器)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PDU(高压配电箱)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OBC(车载充电机)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DC-DC(高低压转换器)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BMS(电池管理系统)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、永磁同步驱动电机、单速变速器。</w:t>
            </w:r>
          </w:p>
          <w:p w14:paraId="2EF2C278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2.电机类型：永磁同步驱动电机。</w:t>
            </w:r>
          </w:p>
          <w:p w14:paraId="29B6F377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3.峰值功率：≥150kW。</w:t>
            </w:r>
          </w:p>
          <w:p w14:paraId="7F32EF34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4.峰值扭矩：≥310N•m。</w:t>
            </w:r>
          </w:p>
          <w:p w14:paraId="6A114316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5.最高转速：≥15000rpm。</w:t>
            </w:r>
          </w:p>
          <w:p w14:paraId="514557F1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6.冷却方式：水冷冷却。</w:t>
            </w:r>
          </w:p>
          <w:p w14:paraId="735C4DC8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7.变速器形式：单速变速器，集成差速器。</w:t>
            </w:r>
          </w:p>
          <w:p w14:paraId="0A1040F8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8.总成净重：≥100kg。</w:t>
            </w:r>
          </w:p>
          <w:p w14:paraId="1C4CB982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五、实训项目</w:t>
            </w:r>
          </w:p>
          <w:p w14:paraId="48A4E40E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本设备可开展的实训项目如下：</w:t>
            </w:r>
          </w:p>
          <w:p w14:paraId="67264331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1.八合一电驱动总成整体结构认知。</w:t>
            </w:r>
          </w:p>
          <w:p w14:paraId="339C6D3C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2.驱动电机、定子、转子拆装检测。</w:t>
            </w:r>
          </w:p>
          <w:p w14:paraId="420ED2C3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3.减速器、差速器总成拆装、间隙测量。</w:t>
            </w:r>
          </w:p>
          <w:p w14:paraId="7164C282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4.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BMS(电池管理系统)MCU(电机控制器)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VCU(整车控制器)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PDU(高压配电箱)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OBC(车载充电机)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DC-DC(高低压转换器)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BMS(电池管理系统)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等模块结构识别、检测与故障诊断。</w:t>
            </w:r>
          </w:p>
          <w:p w14:paraId="3DA772E6">
            <w:pPr>
              <w:jc w:val="lef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5.高压连接器、水冷管路拆装实训。</w:t>
            </w:r>
          </w:p>
          <w:p w14:paraId="19FE83E4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6.总成装配工艺、螺栓紧固规范实训等。</w:t>
            </w:r>
          </w:p>
          <w:p w14:paraId="1400C0AC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六、配套车辆3D仿真教学软件：</w:t>
            </w:r>
          </w:p>
          <w:p w14:paraId="70CDA214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（1）总体要求</w:t>
            </w:r>
          </w:p>
          <w:p w14:paraId="1CBEBABA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▲3D仿真车辆模型覆盖不少于5款市场在售新能源汽车车型，包括纯电动汽车和混合动力汽车。通过实车采集数据，还原真实车辆传动系统结构，相关结构细致且与实车实物相符，方便学生观看车辆结构细节进行学习（提供软件功能验证截图）。</w:t>
            </w:r>
          </w:p>
          <w:p w14:paraId="0FFDA682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（2）技术参数要求：教学模式：至少包括“独立展示”和“分屏对比展示”2种工作模式，方便教学展示以及不同部件的对比分析。教学任务：至少包括整体展示、总成系统展示、细节零件展示、教学资源4个模块任务。可以通过不同教学任务快速定位对应系统开展教学。具备分屏对比功能，各分屏之间可独立操作，并拥有更换模型、自动拆解、复原模型、手动拆解、结构展示、对比等功能，通过分屏对比方便学生更直观的了解不同车型的零部件的结构区别。（提供现场演示）所有模型具备单独显示和隐藏的功能，可一键隐藏模型或一键显示模型，可同时任意隐藏或展示多个模型，已达到突出教学重点的目的。模型具备一键自动拆解和手动自定义拆解功能。支持自动、手动一键转换，可根据教学需要任意设置。</w:t>
            </w:r>
          </w:p>
          <w:p w14:paraId="33048AAE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（3）3D教学资源</w:t>
            </w:r>
          </w:p>
          <w:p w14:paraId="761B974B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①每款车型资源至少包含以下内容：车身系统总成、空调系统总成、内饰系统总成、座椅系统总成、动力系统总成、底盘系统总成、典型故障案例资源。</w:t>
            </w:r>
          </w:p>
          <w:p w14:paraId="33D58539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▲②车身系统总成：至少包含车门（包括后视镜、车门总成、车门玻璃、 玻璃调节器总成、车门扶手、门锁总成、高音单元、低音单元、后视镜控制单元）、挡泥板、车身整体框架（包括油门踏板总成、安全气囊控制单元、车身焊接总成、碳罐、碳罐电磁阀、电子膨胀阀、前/后防撞梁总成、碰撞传感器、挡风玻璃、高压接线盒、车轮罩板总成、无线电天线放大器、侧裙板护板、车顶边框饰条、天窗总成、车辆控制单元 VCU）、前保险杠总成（包括前保险杠、前车牌架）、汽车前大灯、引擎盖总成（包括引擎盖加强钣金件、引擎盖铰链、支撑杆、前机盖锁总成)、后保险杠总成（包括后保险杠、后车牌架、倒车传感器、侧方雷达）、尾灯总成（包括雾灯、转向灯、贯穿警示灯）、行李箱盖、行李箱铰链总成、雨刮器总成等。（提供软件功能验证截图）</w:t>
            </w:r>
          </w:p>
          <w:p w14:paraId="63A0055F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③空调系统总成：至少包含空气滤清器总成、空调控制器总成、集成PTC空气加热器总成、空调压缩机、散热器总成、电子风扇、玻璃除霜管、冷凝器、膨胀水箱、仪表板通风管。</w:t>
            </w:r>
          </w:p>
          <w:p w14:paraId="207931DB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④内饰系统总成：至少包含中控台系统、仪表板系统、车身覆盖件系统。</w:t>
            </w:r>
          </w:p>
          <w:p w14:paraId="23B7502F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⑤座椅系统总成：至少包含驾驶员座椅、前排乘客座椅、后排座椅、座椅框架焊接总成、座椅金属框架、座椅安全带总成、座椅滑轨总成。</w:t>
            </w:r>
          </w:p>
          <w:p w14:paraId="310DD984">
            <w:pPr>
              <w:jc w:val="lef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⑥动力系统总成：至少包含电池系统总成、电机驱动总成、车载充电器、插入式充电系统插座。</w:t>
            </w:r>
          </w:p>
          <w:p w14:paraId="0C092EE1">
            <w:pPr>
              <w:jc w:val="lef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⑦底盘系统总成：至少包含制动液储液罐、制动踏板总成、方向盘、气囊游丝、前后制动盘、转向器拉杆组件、转向上下护板。</w:t>
            </w:r>
          </w:p>
        </w:tc>
      </w:tr>
    </w:tbl>
    <w:p w14:paraId="11A41034"/>
    <w:sectPr>
      <w:pgSz w:w="11906" w:h="16838"/>
      <w:pgMar w:top="85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0EC"/>
    <w:rsid w:val="00114F36"/>
    <w:rsid w:val="003C50D4"/>
    <w:rsid w:val="005B53FF"/>
    <w:rsid w:val="007E1165"/>
    <w:rsid w:val="009C0684"/>
    <w:rsid w:val="00D70913"/>
    <w:rsid w:val="00F570EC"/>
    <w:rsid w:val="1B3D39F4"/>
    <w:rsid w:val="5CF6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161616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spacing w:after="500" w:line="288" w:lineRule="auto"/>
      <w:jc w:val="left"/>
      <w:outlineLvl w:val="0"/>
    </w:pPr>
    <w:rPr>
      <w:rFonts w:ascii="微软雅黑" w:hAnsi="微软雅黑" w:eastAsia="微软雅黑"/>
      <w:b/>
      <w:bCs/>
      <w:sz w:val="30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9"/>
    <w:pPr>
      <w:spacing w:after="500" w:line="288" w:lineRule="auto"/>
      <w:jc w:val="left"/>
      <w:outlineLvl w:val="1"/>
    </w:pPr>
    <w:rPr>
      <w:rFonts w:ascii="微软雅黑" w:hAnsi="微软雅黑" w:eastAsia="微软雅黑"/>
      <w:b/>
      <w:bCs/>
      <w:sz w:val="27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spacing w:after="500" w:line="288" w:lineRule="auto"/>
      <w:jc w:val="left"/>
      <w:outlineLvl w:val="2"/>
    </w:pPr>
    <w:rPr>
      <w:rFonts w:ascii="微软雅黑" w:hAnsi="微软雅黑" w:eastAsia="微软雅黑"/>
      <w:b/>
      <w:bCs/>
      <w:sz w:val="27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标题 1 Char"/>
    <w:basedOn w:val="11"/>
    <w:qFormat/>
    <w:uiPriority w:val="9"/>
    <w:rPr>
      <w:b/>
      <w:bCs/>
      <w:color w:val="161616"/>
      <w:kern w:val="44"/>
      <w:sz w:val="44"/>
      <w:szCs w:val="44"/>
    </w:rPr>
  </w:style>
  <w:style w:type="character" w:customStyle="1" w:styleId="13">
    <w:name w:val="标题 1 Char1"/>
    <w:link w:val="2"/>
    <w:qFormat/>
    <w:uiPriority w:val="9"/>
    <w:rPr>
      <w:rFonts w:ascii="微软雅黑" w:hAnsi="微软雅黑" w:eastAsia="微软雅黑"/>
      <w:b/>
      <w:bCs/>
      <w:color w:val="161616"/>
      <w:kern w:val="2"/>
      <w:sz w:val="30"/>
      <w:szCs w:val="44"/>
    </w:rPr>
  </w:style>
  <w:style w:type="character" w:customStyle="1" w:styleId="14">
    <w:name w:val="标题 2 Char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161616"/>
      <w:kern w:val="2"/>
      <w:sz w:val="32"/>
      <w:szCs w:val="32"/>
    </w:rPr>
  </w:style>
  <w:style w:type="character" w:customStyle="1" w:styleId="15">
    <w:name w:val="标题 2 Char1"/>
    <w:link w:val="3"/>
    <w:semiHidden/>
    <w:qFormat/>
    <w:uiPriority w:val="9"/>
    <w:rPr>
      <w:rFonts w:ascii="微软雅黑" w:hAnsi="微软雅黑" w:eastAsia="微软雅黑"/>
      <w:b/>
      <w:bCs/>
      <w:color w:val="161616"/>
      <w:kern w:val="2"/>
      <w:sz w:val="27"/>
      <w:szCs w:val="32"/>
    </w:rPr>
  </w:style>
  <w:style w:type="character" w:customStyle="1" w:styleId="16">
    <w:name w:val="标题 3 Char"/>
    <w:basedOn w:val="11"/>
    <w:semiHidden/>
    <w:qFormat/>
    <w:uiPriority w:val="9"/>
    <w:rPr>
      <w:b/>
      <w:bCs/>
      <w:color w:val="161616"/>
      <w:kern w:val="2"/>
      <w:sz w:val="32"/>
      <w:szCs w:val="32"/>
    </w:rPr>
  </w:style>
  <w:style w:type="character" w:customStyle="1" w:styleId="17">
    <w:name w:val="标题 3 Char1"/>
    <w:link w:val="4"/>
    <w:semiHidden/>
    <w:qFormat/>
    <w:uiPriority w:val="9"/>
    <w:rPr>
      <w:rFonts w:ascii="微软雅黑" w:hAnsi="微软雅黑" w:eastAsia="微软雅黑"/>
      <w:b/>
      <w:bCs/>
      <w:color w:val="161616"/>
      <w:kern w:val="2"/>
      <w:sz w:val="27"/>
      <w:szCs w:val="32"/>
    </w:rPr>
  </w:style>
  <w:style w:type="character" w:customStyle="1" w:styleId="18">
    <w:name w:val="页眉 Char"/>
    <w:basedOn w:val="11"/>
    <w:link w:val="8"/>
    <w:qFormat/>
    <w:uiPriority w:val="99"/>
    <w:rPr>
      <w:color w:val="161616"/>
      <w:kern w:val="2"/>
      <w:sz w:val="18"/>
      <w:szCs w:val="18"/>
    </w:rPr>
  </w:style>
  <w:style w:type="character" w:customStyle="1" w:styleId="19">
    <w:name w:val="页脚 Char"/>
    <w:basedOn w:val="11"/>
    <w:link w:val="7"/>
    <w:qFormat/>
    <w:uiPriority w:val="99"/>
    <w:rPr>
      <w:color w:val="161616"/>
      <w:kern w:val="2"/>
      <w:sz w:val="18"/>
      <w:szCs w:val="18"/>
    </w:rPr>
  </w:style>
  <w:style w:type="character" w:customStyle="1" w:styleId="20">
    <w:name w:val="批注框文本 Char"/>
    <w:basedOn w:val="11"/>
    <w:link w:val="6"/>
    <w:semiHidden/>
    <w:qFormat/>
    <w:uiPriority w:val="99"/>
    <w:rPr>
      <w:color w:val="161616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2290</Words>
  <Characters>2448</Characters>
  <Lines>8</Lines>
  <Paragraphs>2</Paragraphs>
  <TotalTime>6</TotalTime>
  <ScaleCrop>false</ScaleCrop>
  <LinksUpToDate>false</LinksUpToDate>
  <CharactersWithSpaces>2450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2026-10-28T04:20:00Z</dcterms:created>
  <dc:creator>AutoBVT</dc:creator>
  <cp:lastModifiedBy>蔡雨凡</cp:lastModifiedBy>
  <dcterms:modified xsi:type="dcterms:W3CDTF">2026-11-04T02:50:34Z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eyJoZGlkIjoiYzU2MjA2ZmQyNjYyNmZkZWYzYzgzYzEwYWI2OTIxMmYiLCJ1c2VySWQiOiIzMDUzNjM3NjgifQ==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F1949E340B444470B51990CE5656B8A3_13</vt:lpwstr>
  </property>
</Properties>
</file>